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6C06" w14:textId="77777777" w:rsidR="003C7B83" w:rsidRDefault="003C7B83" w:rsidP="00302517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color w:val="000000"/>
        </w:rPr>
      </w:pPr>
    </w:p>
    <w:p w14:paraId="641753AB" w14:textId="7E2464BA" w:rsidR="00302517" w:rsidRPr="0003753D" w:rsidRDefault="00302517" w:rsidP="00302517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color w:val="000000"/>
        </w:rPr>
      </w:pPr>
      <w:r w:rsidRPr="0003753D">
        <w:rPr>
          <w:b/>
          <w:bCs/>
          <w:color w:val="000000"/>
        </w:rPr>
        <w:t xml:space="preserve">Порядок отнесения объектов контроля </w:t>
      </w:r>
      <w:r w:rsidR="003C7B83" w:rsidRPr="0003753D">
        <w:rPr>
          <w:rFonts w:eastAsia="Times New Roman"/>
          <w:b/>
          <w:lang w:eastAsia="zh-CN"/>
        </w:rPr>
        <w:t xml:space="preserve">на автомобильном транспорте и в дорожном хозяйстве </w:t>
      </w:r>
      <w:r w:rsidR="003C7B83" w:rsidRPr="0003753D">
        <w:rPr>
          <w:b/>
          <w:bCs/>
          <w:lang w:eastAsia="zh-CN"/>
        </w:rPr>
        <w:t>в границах Слюдянского муниципального образования</w:t>
      </w:r>
      <w:r w:rsidR="003C7B83" w:rsidRPr="0003753D">
        <w:rPr>
          <w:b/>
          <w:bCs/>
          <w:color w:val="000000"/>
        </w:rPr>
        <w:t xml:space="preserve"> </w:t>
      </w:r>
      <w:r w:rsidRPr="0003753D">
        <w:rPr>
          <w:b/>
          <w:bCs/>
          <w:color w:val="000000"/>
        </w:rPr>
        <w:t>к категориям риска</w:t>
      </w:r>
    </w:p>
    <w:p w14:paraId="6F3607D5" w14:textId="6A3D77A5" w:rsidR="00302517" w:rsidRPr="00302517" w:rsidRDefault="00302517" w:rsidP="00302517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rFonts w:eastAsia="SimSun"/>
          <w:b w:val="0"/>
          <w:bCs w:val="0"/>
          <w:color w:val="000000"/>
          <w:kern w:val="0"/>
          <w:sz w:val="24"/>
          <w:szCs w:val="24"/>
        </w:rPr>
      </w:pPr>
      <w:r w:rsidRPr="00302517">
        <w:rPr>
          <w:rFonts w:eastAsia="SimSun"/>
          <w:b w:val="0"/>
          <w:bCs w:val="0"/>
          <w:color w:val="000000"/>
          <w:kern w:val="0"/>
          <w:sz w:val="24"/>
          <w:szCs w:val="24"/>
        </w:rPr>
        <w:t>В соответствии со с</w:t>
      </w:r>
      <w:r w:rsidRPr="00302517">
        <w:rPr>
          <w:rFonts w:eastAsia="SimSun"/>
          <w:b w:val="0"/>
          <w:bCs w:val="0"/>
          <w:color w:val="000000"/>
          <w:kern w:val="0"/>
          <w:sz w:val="24"/>
          <w:szCs w:val="24"/>
        </w:rPr>
        <w:t>тать</w:t>
      </w:r>
      <w:r w:rsidRPr="00302517">
        <w:rPr>
          <w:rFonts w:eastAsia="SimSun"/>
          <w:b w:val="0"/>
          <w:bCs w:val="0"/>
          <w:color w:val="000000"/>
          <w:kern w:val="0"/>
          <w:sz w:val="24"/>
          <w:szCs w:val="24"/>
        </w:rPr>
        <w:t>ей</w:t>
      </w:r>
      <w:r w:rsidRPr="00302517">
        <w:rPr>
          <w:rFonts w:eastAsia="SimSun"/>
          <w:b w:val="0"/>
          <w:bCs w:val="0"/>
          <w:color w:val="000000"/>
          <w:kern w:val="0"/>
          <w:sz w:val="24"/>
          <w:szCs w:val="24"/>
        </w:rPr>
        <w:t xml:space="preserve"> 24</w:t>
      </w:r>
      <w:r w:rsidRPr="00302517">
        <w:rPr>
          <w:rFonts w:eastAsia="SimSu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302517">
        <w:rPr>
          <w:rFonts w:eastAsia="SimSun"/>
          <w:b w:val="0"/>
          <w:bCs w:val="0"/>
          <w:color w:val="000000"/>
          <w:kern w:val="0"/>
          <w:sz w:val="24"/>
          <w:szCs w:val="24"/>
        </w:rPr>
        <w:t>Федеральн</w:t>
      </w:r>
      <w:r w:rsidR="0003753D">
        <w:rPr>
          <w:rFonts w:eastAsia="SimSun"/>
          <w:b w:val="0"/>
          <w:bCs w:val="0"/>
          <w:color w:val="000000"/>
          <w:kern w:val="0"/>
          <w:sz w:val="24"/>
          <w:szCs w:val="24"/>
        </w:rPr>
        <w:t>ого</w:t>
      </w:r>
      <w:r w:rsidRPr="00302517">
        <w:rPr>
          <w:rFonts w:eastAsia="SimSun"/>
          <w:b w:val="0"/>
          <w:bCs w:val="0"/>
          <w:color w:val="000000"/>
          <w:kern w:val="0"/>
          <w:sz w:val="24"/>
          <w:szCs w:val="24"/>
        </w:rPr>
        <w:t xml:space="preserve"> закон</w:t>
      </w:r>
      <w:r w:rsidR="0003753D">
        <w:rPr>
          <w:rFonts w:eastAsia="SimSun"/>
          <w:b w:val="0"/>
          <w:bCs w:val="0"/>
          <w:color w:val="000000"/>
          <w:kern w:val="0"/>
          <w:sz w:val="24"/>
          <w:szCs w:val="24"/>
        </w:rPr>
        <w:t>а</w:t>
      </w:r>
      <w:r w:rsidRPr="00302517">
        <w:rPr>
          <w:rFonts w:eastAsia="SimSun"/>
          <w:b w:val="0"/>
          <w:bCs w:val="0"/>
          <w:color w:val="000000"/>
          <w:kern w:val="0"/>
          <w:sz w:val="24"/>
          <w:szCs w:val="24"/>
        </w:rPr>
        <w:t xml:space="preserve"> от 31 июля 2020 года N 248-ФЗ «О государственном контроле (надзоре) и муниципальном контроле в Российской Федерации»</w:t>
      </w:r>
      <w:r w:rsidR="0003753D">
        <w:rPr>
          <w:rFonts w:eastAsia="SimSun"/>
          <w:b w:val="0"/>
          <w:bCs w:val="0"/>
          <w:color w:val="000000"/>
          <w:kern w:val="0"/>
          <w:sz w:val="24"/>
          <w:szCs w:val="24"/>
        </w:rPr>
        <w:t>,</w:t>
      </w:r>
      <w:r>
        <w:rPr>
          <w:rFonts w:eastAsia="SimSu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302517">
        <w:rPr>
          <w:rFonts w:eastAsia="SimSun"/>
          <w:b w:val="0"/>
          <w:bCs w:val="0"/>
          <w:color w:val="000000"/>
          <w:kern w:val="0"/>
          <w:sz w:val="24"/>
          <w:szCs w:val="24"/>
        </w:rPr>
        <w:t>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</w:t>
      </w:r>
      <w:r w:rsidRPr="00302517">
        <w:rPr>
          <w:rFonts w:eastAsia="SimSun"/>
          <w:b w:val="0"/>
          <w:bCs w:val="0"/>
          <w:color w:val="000000"/>
          <w:kern w:val="0"/>
          <w:sz w:val="24"/>
          <w:szCs w:val="24"/>
        </w:rPr>
        <w:t>:</w:t>
      </w:r>
    </w:p>
    <w:p w14:paraId="2E556125" w14:textId="77777777" w:rsidR="00302517" w:rsidRPr="0017702D" w:rsidRDefault="00302517" w:rsidP="003025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02D">
        <w:rPr>
          <w:rFonts w:ascii="Times New Roman" w:eastAsia="Times New Roman" w:hAnsi="Times New Roman"/>
          <w:sz w:val="24"/>
          <w:szCs w:val="24"/>
          <w:lang w:eastAsia="ru-RU"/>
        </w:rPr>
        <w:t>1. 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1C7C94B9" w14:textId="77777777" w:rsidR="00302517" w:rsidRPr="0017702D" w:rsidRDefault="00302517" w:rsidP="003025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02D">
        <w:rPr>
          <w:rFonts w:ascii="Times New Roman" w:eastAsia="Times New Roman" w:hAnsi="Times New Roman"/>
          <w:sz w:val="24"/>
          <w:szCs w:val="24"/>
          <w:lang w:eastAsia="ru-RU"/>
        </w:rPr>
        <w:t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14:paraId="72622D3C" w14:textId="77777777" w:rsidR="00302517" w:rsidRPr="0017702D" w:rsidRDefault="00302517" w:rsidP="003025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02D">
        <w:rPr>
          <w:rFonts w:ascii="Times New Roman" w:eastAsia="Times New Roman" w:hAnsi="Times New Roman"/>
          <w:sz w:val="24"/>
          <w:szCs w:val="24"/>
          <w:lang w:eastAsia="ru-RU"/>
        </w:rPr>
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14:paraId="3B6E4132" w14:textId="77777777" w:rsidR="00302517" w:rsidRPr="0017702D" w:rsidRDefault="00302517" w:rsidP="003025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02D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14:paraId="0FC7F24F" w14:textId="77777777" w:rsidR="00302517" w:rsidRPr="0017702D" w:rsidRDefault="00302517" w:rsidP="003025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02D">
        <w:rPr>
          <w:rFonts w:ascii="Times New Roman" w:eastAsia="Times New Roman" w:hAnsi="Times New Roman"/>
          <w:sz w:val="24"/>
          <w:szCs w:val="24"/>
          <w:lang w:eastAsia="ru-RU"/>
        </w:rPr>
        <w:t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14:paraId="62FA106F" w14:textId="04A77DB2" w:rsidR="00302517" w:rsidRPr="00302517" w:rsidRDefault="00302517" w:rsidP="0003753D">
      <w:pPr>
        <w:pStyle w:val="a3"/>
        <w:shd w:val="clear" w:color="auto" w:fill="FFFFFF"/>
        <w:spacing w:before="0" w:beforeAutospacing="0" w:after="0"/>
        <w:ind w:firstLine="709"/>
        <w:jc w:val="both"/>
        <w:outlineLvl w:val="1"/>
        <w:rPr>
          <w:color w:val="000000"/>
        </w:rPr>
      </w:pPr>
      <w:r w:rsidRPr="0017702D">
        <w:rPr>
          <w:rFonts w:eastAsia="Times New Roman"/>
        </w:rPr>
        <w:t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14:paraId="18926407" w14:textId="571F84C9" w:rsidR="00302517" w:rsidRPr="00302517" w:rsidRDefault="00302517" w:rsidP="00302517">
      <w:pPr>
        <w:pStyle w:val="a3"/>
        <w:spacing w:before="0" w:beforeAutospacing="0" w:after="0"/>
        <w:ind w:firstLine="708"/>
        <w:contextualSpacing/>
        <w:jc w:val="both"/>
        <w:rPr>
          <w:color w:val="000000"/>
        </w:rPr>
      </w:pPr>
    </w:p>
    <w:p w14:paraId="7D20D596" w14:textId="77777777" w:rsidR="003C7B83" w:rsidRDefault="003C7B83" w:rsidP="003C7B83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color w:val="000000"/>
        </w:rPr>
      </w:pPr>
    </w:p>
    <w:p w14:paraId="22DB85A7" w14:textId="77777777" w:rsidR="003C7B83" w:rsidRDefault="003C7B83" w:rsidP="003C7B83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color w:val="000000"/>
        </w:rPr>
      </w:pPr>
    </w:p>
    <w:p w14:paraId="401CAC01" w14:textId="77777777" w:rsidR="003C7B83" w:rsidRDefault="003C7B83" w:rsidP="003C7B83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color w:val="000000"/>
        </w:rPr>
      </w:pPr>
    </w:p>
    <w:p w14:paraId="0B5D4824" w14:textId="5AA32704" w:rsidR="003C7B83" w:rsidRDefault="003C7B83" w:rsidP="003C7B83">
      <w:pPr>
        <w:pStyle w:val="a3"/>
        <w:spacing w:before="0" w:beforeAutospacing="0" w:after="0"/>
        <w:ind w:firstLine="708"/>
        <w:contextualSpacing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К</w:t>
      </w:r>
      <w:r w:rsidRPr="0003753D">
        <w:rPr>
          <w:b/>
          <w:bCs/>
          <w:color w:val="000000"/>
        </w:rPr>
        <w:t>ритери</w:t>
      </w:r>
      <w:r>
        <w:rPr>
          <w:b/>
          <w:bCs/>
          <w:color w:val="000000"/>
        </w:rPr>
        <w:t>и</w:t>
      </w:r>
      <w:r w:rsidRPr="0003753D">
        <w:rPr>
          <w:b/>
          <w:bCs/>
          <w:color w:val="000000"/>
        </w:rPr>
        <w:t xml:space="preserve"> риска </w:t>
      </w:r>
      <w:r w:rsidRPr="0003753D">
        <w:rPr>
          <w:rFonts w:eastAsia="Times New Roman"/>
          <w:b/>
          <w:lang w:eastAsia="zh-CN"/>
        </w:rPr>
        <w:t xml:space="preserve">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Pr="0003753D">
        <w:rPr>
          <w:rFonts w:eastAsia="Times New Roman"/>
          <w:b/>
          <w:bCs/>
          <w:lang w:eastAsia="zh-CN"/>
        </w:rPr>
        <w:t xml:space="preserve">муниципального контроля </w:t>
      </w:r>
      <w:r w:rsidRPr="0003753D">
        <w:rPr>
          <w:rFonts w:eastAsia="Times New Roman"/>
          <w:b/>
          <w:lang w:eastAsia="zh-CN"/>
        </w:rPr>
        <w:t xml:space="preserve">на автомобильном транспорте и в дорожном хозяйстве </w:t>
      </w:r>
      <w:r w:rsidRPr="0003753D">
        <w:rPr>
          <w:b/>
          <w:bCs/>
          <w:lang w:eastAsia="zh-CN"/>
        </w:rPr>
        <w:t>в границах Слюдянского муниципального образования</w:t>
      </w:r>
    </w:p>
    <w:p w14:paraId="0BB3384F" w14:textId="03B329F5" w:rsidR="00B17BCE" w:rsidRPr="00302517" w:rsidRDefault="00B17BCE" w:rsidP="00302517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</w:rPr>
        <w:t>Для целей управления рисками причинения вреда (ущерба) охраняемым законом ценностям в отношении объектов контроля устанавливаются следующие категории риска причинения вреда (ущерба) охраняемым законом ценностям (далее – категории риска):</w:t>
      </w:r>
    </w:p>
    <w:p w14:paraId="7583F3A1" w14:textId="77777777" w:rsidR="00B17BCE" w:rsidRPr="00302517" w:rsidRDefault="00B17BCE" w:rsidP="00B17BCE">
      <w:pPr>
        <w:pStyle w:val="a3"/>
        <w:spacing w:before="0" w:beforeAutospacing="0" w:after="0"/>
        <w:contextualSpacing/>
        <w:jc w:val="both"/>
      </w:pPr>
      <w:r w:rsidRPr="00302517">
        <w:rPr>
          <w:color w:val="000000"/>
        </w:rPr>
        <w:t>1) средний риск;</w:t>
      </w:r>
    </w:p>
    <w:p w14:paraId="62266BE3" w14:textId="77777777" w:rsidR="00B17BCE" w:rsidRPr="00302517" w:rsidRDefault="00B17BCE" w:rsidP="00B17BCE">
      <w:pPr>
        <w:pStyle w:val="a3"/>
        <w:spacing w:before="0" w:beforeAutospacing="0" w:after="0"/>
        <w:contextualSpacing/>
        <w:jc w:val="both"/>
      </w:pPr>
      <w:r w:rsidRPr="00302517">
        <w:rPr>
          <w:color w:val="000000"/>
        </w:rPr>
        <w:t>2) умеренный риск;</w:t>
      </w:r>
    </w:p>
    <w:p w14:paraId="7705BBCD" w14:textId="77777777" w:rsidR="00B17BCE" w:rsidRPr="00302517" w:rsidRDefault="00B17BCE" w:rsidP="00B17BCE">
      <w:pPr>
        <w:pStyle w:val="a3"/>
        <w:spacing w:before="0" w:beforeAutospacing="0" w:after="0"/>
        <w:contextualSpacing/>
        <w:jc w:val="both"/>
      </w:pPr>
      <w:r w:rsidRPr="00302517">
        <w:rPr>
          <w:color w:val="000000"/>
        </w:rPr>
        <w:t>3) низкий риск.</w:t>
      </w:r>
    </w:p>
    <w:p w14:paraId="3202AD98" w14:textId="56F45FD2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</w:rPr>
        <w:t>Критерии отнесения объектов контроля к категориям риска (далее –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(ущерба) соответствовало имеющимся ресурсам контрольного органа.</w:t>
      </w:r>
    </w:p>
    <w:p w14:paraId="2BCA7F74" w14:textId="60F0C2E6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</w:rPr>
        <w:t>В целях отнесения объектов контроля к категориям риска при осуществлении муниципального контроля устанавливаются следующие критерии риска:</w:t>
      </w:r>
    </w:p>
    <w:p w14:paraId="128859D0" w14:textId="77777777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</w:rPr>
        <w:t>1) к категории среднего риска относятся объекты контроля – искусственные дорожные сооружения;</w:t>
      </w:r>
    </w:p>
    <w:p w14:paraId="13EA3DC8" w14:textId="77777777" w:rsidR="00B17BCE" w:rsidRPr="0003753D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</w:rPr>
        <w:t xml:space="preserve">2) к категории умеренного риска относятся объекты контроля – автомобильные дороги и дорожные сооружения на них, которыми граждане и организации владеют и (или) пользуются, и к которым предъявляются обязательные требования к осуществлению </w:t>
      </w:r>
      <w:r w:rsidRPr="0003753D">
        <w:rPr>
          <w:color w:val="000000"/>
        </w:rPr>
        <w:t>дорожной деятельности</w:t>
      </w:r>
      <w:r w:rsidRPr="0003753D">
        <w:rPr>
          <w:color w:val="000000"/>
          <w:shd w:val="clear" w:color="auto" w:fill="FFFF00"/>
        </w:rPr>
        <w:t>.</w:t>
      </w:r>
    </w:p>
    <w:p w14:paraId="1C50E47F" w14:textId="4BA99F38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03753D">
        <w:rPr>
          <w:color w:val="000000"/>
        </w:rPr>
        <w:t>Перечни объектов контроля</w:t>
      </w:r>
      <w:r w:rsidRPr="00302517">
        <w:rPr>
          <w:color w:val="000000"/>
        </w:rPr>
        <w:t>, отнесенных к категориям среднего риска и умеренного риска, составляются ежегодно в срок до 31 января года составления плана контрольных мероприятий в порядке, предусмотренном нормативным правовым актом.</w:t>
      </w:r>
    </w:p>
    <w:p w14:paraId="665A9082" w14:textId="35BDC3E3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  <w:shd w:val="clear" w:color="auto" w:fill="FFFFFF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14:paraId="3B66CA28" w14:textId="43FD4E9C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</w:rPr>
        <w:t>В целях оценки риска причинения вреда (ущерба) охраняемым законом ценностям устанавливаются индикаторы риска нарушения обязательных требований</w:t>
      </w:r>
    </w:p>
    <w:p w14:paraId="71662ED4" w14:textId="5713452F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bookmarkStart w:id="0" w:name="ст28"/>
      <w:bookmarkEnd w:id="0"/>
      <w:r w:rsidRPr="00302517">
        <w:rPr>
          <w:color w:val="000000"/>
        </w:rPr>
        <w:t>Частота проведения плановых контрольных мероприятий устанавливается:</w:t>
      </w:r>
    </w:p>
    <w:p w14:paraId="781F7419" w14:textId="77777777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</w:rPr>
        <w:t>1) д</w:t>
      </w:r>
      <w:r w:rsidRPr="00302517">
        <w:t>ля объектов контроля, отнесенных к категории среднего риска – одно плановое контрольное мероприятие в 3 года;</w:t>
      </w:r>
    </w:p>
    <w:p w14:paraId="69B5D14D" w14:textId="77777777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</w:rPr>
        <w:t>2) для</w:t>
      </w:r>
      <w:r w:rsidRPr="00302517">
        <w:t xml:space="preserve"> объектов контроля, отнесенных к категории умеренного риска –одно плановое контрольное мероприятие в 4 лет. </w:t>
      </w:r>
    </w:p>
    <w:p w14:paraId="7F2B584D" w14:textId="7A21CE9B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  <w:shd w:val="clear" w:color="auto" w:fill="FFFFFF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14:paraId="3CE7804D" w14:textId="48DBEE83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</w:rPr>
        <w:t xml:space="preserve">Выявление соответствия объекта контроля индикаторам риска является основанием для проведения внепланового контрольного мероприятия, предусматривающего взаимодействие с контролируемым лицом. Вид такого </w:t>
      </w:r>
      <w:r w:rsidRPr="00302517">
        <w:rPr>
          <w:color w:val="000000"/>
          <w:shd w:val="clear" w:color="auto" w:fill="FFFFFF"/>
        </w:rPr>
        <w:t>контрольного</w:t>
      </w:r>
      <w:r w:rsidRPr="00302517">
        <w:rPr>
          <w:color w:val="000000"/>
        </w:rPr>
        <w:t xml:space="preserve"> мероприятия определяется </w:t>
      </w:r>
      <w:r w:rsidRPr="00302517">
        <w:rPr>
          <w:color w:val="000000"/>
          <w:shd w:val="clear" w:color="auto" w:fill="FFFFFF"/>
        </w:rPr>
        <w:t>с учетом следующих критериев:</w:t>
      </w:r>
    </w:p>
    <w:p w14:paraId="1831ED68" w14:textId="69823AE6" w:rsidR="00B17BCE" w:rsidRPr="00302517" w:rsidRDefault="00B17BCE" w:rsidP="00B17BCE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  <w:shd w:val="clear" w:color="auto" w:fill="FFFFFF"/>
        </w:rPr>
        <w:t xml:space="preserve">1) при выявлении </w:t>
      </w:r>
      <w:r w:rsidRPr="00302517">
        <w:rPr>
          <w:color w:val="000000"/>
        </w:rPr>
        <w:t xml:space="preserve">соответствия объекта контроля </w:t>
      </w:r>
      <w:r w:rsidRPr="00302517">
        <w:rPr>
          <w:color w:val="000000"/>
          <w:shd w:val="clear" w:color="auto" w:fill="FFFFFF"/>
        </w:rPr>
        <w:t xml:space="preserve">индикаторам риска, предусмотренными </w:t>
      </w:r>
      <w:r w:rsidRPr="00302517">
        <w:rPr>
          <w:color w:val="000000"/>
        </w:rPr>
        <w:t xml:space="preserve">подпунктами 1, 7 </w:t>
      </w:r>
      <w:r w:rsidR="00D83BBC" w:rsidRPr="00302517">
        <w:rPr>
          <w:color w:val="000000"/>
        </w:rPr>
        <w:t>индикаторов риска</w:t>
      </w:r>
      <w:r w:rsidRPr="00302517">
        <w:rPr>
          <w:color w:val="000000"/>
        </w:rPr>
        <w:t>, проводится инспекционный визит, рейдовый осмотр, выездная проверка;</w:t>
      </w:r>
    </w:p>
    <w:p w14:paraId="2EAB2ADC" w14:textId="2AFEB235" w:rsidR="00CC215D" w:rsidRPr="00302517" w:rsidRDefault="00B17BCE" w:rsidP="00302517">
      <w:pPr>
        <w:pStyle w:val="a3"/>
        <w:spacing w:before="0" w:beforeAutospacing="0" w:after="0"/>
        <w:ind w:firstLine="708"/>
        <w:contextualSpacing/>
        <w:jc w:val="both"/>
      </w:pPr>
      <w:r w:rsidRPr="00302517">
        <w:rPr>
          <w:color w:val="000000"/>
        </w:rPr>
        <w:t xml:space="preserve">2) при выявлении соответствия объекта контроля индикаторам риска, предусмотренными подпунктами 2, 3, 4, 5, 6 </w:t>
      </w:r>
      <w:r w:rsidR="00D83BBC" w:rsidRPr="00302517">
        <w:rPr>
          <w:color w:val="000000"/>
        </w:rPr>
        <w:t>индикаторов риска</w:t>
      </w:r>
      <w:r w:rsidR="00D83BBC" w:rsidRPr="00302517">
        <w:rPr>
          <w:color w:val="000000"/>
        </w:rPr>
        <w:t xml:space="preserve"> </w:t>
      </w:r>
      <w:r w:rsidRPr="00302517">
        <w:rPr>
          <w:color w:val="000000"/>
        </w:rPr>
        <w:t>к настоящему Положению, проводится инспекционный визит, р</w:t>
      </w:r>
      <w:r w:rsidRPr="00302517">
        <w:rPr>
          <w:color w:val="000000"/>
          <w:shd w:val="clear" w:color="auto" w:fill="FFFFFF"/>
        </w:rPr>
        <w:t>ейдовый осмотр, документарная проверка, выездная проверка.</w:t>
      </w:r>
    </w:p>
    <w:p w14:paraId="246C6A88" w14:textId="77777777" w:rsidR="0003753D" w:rsidRDefault="0003753D" w:rsidP="003025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676C591" w14:textId="655C9050" w:rsidR="00302517" w:rsidRPr="00427D24" w:rsidRDefault="00302517" w:rsidP="003025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1" w:name="_GoBack"/>
      <w:bookmarkEnd w:id="1"/>
      <w:r w:rsidRPr="00427D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Pr="00427D2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муниципального контроля </w:t>
      </w:r>
      <w:r w:rsidRPr="00427D24">
        <w:rPr>
          <w:rFonts w:ascii="Times New Roman" w:eastAsia="Times New Roman" w:hAnsi="Times New Roman"/>
          <w:b/>
          <w:sz w:val="24"/>
          <w:szCs w:val="24"/>
          <w:lang w:eastAsia="zh-CN"/>
        </w:rPr>
        <w:t>на автомобильном транспорте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427D24">
        <w:rPr>
          <w:rFonts w:ascii="Times New Roman" w:eastAsia="Times New Roman" w:hAnsi="Times New Roman"/>
          <w:b/>
          <w:sz w:val="24"/>
          <w:szCs w:val="24"/>
          <w:lang w:eastAsia="zh-CN"/>
        </w:rPr>
        <w:t>и в дорожном хозяйстве</w:t>
      </w:r>
    </w:p>
    <w:p w14:paraId="75863CE4" w14:textId="77777777" w:rsidR="00302517" w:rsidRPr="00427D24" w:rsidRDefault="00302517" w:rsidP="003025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27D2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в границах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Слюдянского муниципального образования</w:t>
      </w:r>
    </w:p>
    <w:p w14:paraId="39DAE247" w14:textId="77777777" w:rsidR="00302517" w:rsidRPr="00427D24" w:rsidRDefault="00302517" w:rsidP="003025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1D27838E" w14:textId="77777777" w:rsidR="00302517" w:rsidRPr="00427D24" w:rsidRDefault="00302517" w:rsidP="003025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D24">
        <w:rPr>
          <w:rFonts w:ascii="Times New Roman" w:eastAsia="Times New Roman" w:hAnsi="Times New Roman"/>
          <w:sz w:val="24"/>
          <w:szCs w:val="24"/>
          <w:lang w:eastAsia="ru-RU"/>
        </w:rPr>
        <w:t>К индикаторам риска нарушения обязательных требований относятся:</w:t>
      </w:r>
    </w:p>
    <w:p w14:paraId="0FEE9630" w14:textId="77777777" w:rsidR="00302517" w:rsidRPr="00427D24" w:rsidRDefault="00302517" w:rsidP="003025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D2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F045A5F" w14:textId="77777777" w:rsidR="00302517" w:rsidRPr="00427D24" w:rsidRDefault="00302517" w:rsidP="00302517">
      <w:pPr>
        <w:numPr>
          <w:ilvl w:val="0"/>
          <w:numId w:val="1"/>
        </w:numPr>
        <w:tabs>
          <w:tab w:val="clear" w:pos="5039"/>
          <w:tab w:val="num" w:pos="1276"/>
          <w:tab w:val="left" w:pos="453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D24">
        <w:rPr>
          <w:rFonts w:ascii="Times New Roman" w:eastAsia="Times New Roman" w:hAnsi="Times New Roman"/>
          <w:sz w:val="24"/>
          <w:szCs w:val="24"/>
          <w:lang w:eastAsia="ru-RU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14:paraId="750BCB6B" w14:textId="77777777" w:rsidR="00302517" w:rsidRPr="00427D24" w:rsidRDefault="00302517" w:rsidP="00302517">
      <w:pPr>
        <w:numPr>
          <w:ilvl w:val="0"/>
          <w:numId w:val="1"/>
        </w:numPr>
        <w:tabs>
          <w:tab w:val="clear" w:pos="5039"/>
          <w:tab w:val="num" w:pos="1276"/>
          <w:tab w:val="left" w:pos="453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D24">
        <w:rPr>
          <w:rFonts w:ascii="Times New Roman" w:eastAsia="Times New Roman" w:hAnsi="Times New Roman"/>
          <w:sz w:val="24"/>
          <w:szCs w:val="24"/>
          <w:lang w:eastAsia="ru-RU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14:paraId="6087D110" w14:textId="77777777" w:rsidR="00302517" w:rsidRPr="00427D24" w:rsidRDefault="00302517" w:rsidP="00302517">
      <w:pPr>
        <w:numPr>
          <w:ilvl w:val="0"/>
          <w:numId w:val="1"/>
        </w:numPr>
        <w:tabs>
          <w:tab w:val="clear" w:pos="5039"/>
          <w:tab w:val="num" w:pos="1276"/>
          <w:tab w:val="left" w:pos="453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D24">
        <w:rPr>
          <w:rFonts w:ascii="Times New Roman" w:eastAsia="Times New Roman" w:hAnsi="Times New Roman"/>
          <w:sz w:val="24"/>
          <w:szCs w:val="24"/>
          <w:lang w:eastAsia="ru-RU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14:paraId="556C4321" w14:textId="77777777" w:rsidR="00302517" w:rsidRPr="00427D24" w:rsidRDefault="00302517" w:rsidP="00302517">
      <w:pPr>
        <w:numPr>
          <w:ilvl w:val="0"/>
          <w:numId w:val="1"/>
        </w:numPr>
        <w:tabs>
          <w:tab w:val="clear" w:pos="5039"/>
          <w:tab w:val="num" w:pos="1276"/>
          <w:tab w:val="left" w:pos="453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D24">
        <w:rPr>
          <w:rFonts w:ascii="Times New Roman" w:eastAsia="Times New Roman" w:hAnsi="Times New Roman"/>
          <w:sz w:val="24"/>
          <w:szCs w:val="24"/>
          <w:lang w:eastAsia="ru-RU"/>
        </w:rPr>
        <w:t>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35582D8B" w14:textId="77777777" w:rsidR="00302517" w:rsidRPr="00427D24" w:rsidRDefault="00302517" w:rsidP="00302517">
      <w:pPr>
        <w:numPr>
          <w:ilvl w:val="0"/>
          <w:numId w:val="1"/>
        </w:numPr>
        <w:tabs>
          <w:tab w:val="clear" w:pos="5039"/>
          <w:tab w:val="num" w:pos="1276"/>
          <w:tab w:val="left" w:pos="453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D24">
        <w:rPr>
          <w:rFonts w:ascii="Times New Roman" w:eastAsia="Times New Roman" w:hAnsi="Times New Roman"/>
          <w:sz w:val="24"/>
          <w:szCs w:val="24"/>
          <w:lang w:eastAsia="ru-RU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14:paraId="12D7FE32" w14:textId="77777777" w:rsidR="00302517" w:rsidRPr="00427D24" w:rsidRDefault="00302517" w:rsidP="00302517">
      <w:pPr>
        <w:numPr>
          <w:ilvl w:val="0"/>
          <w:numId w:val="1"/>
        </w:numPr>
        <w:tabs>
          <w:tab w:val="clear" w:pos="5039"/>
          <w:tab w:val="num" w:pos="1276"/>
          <w:tab w:val="left" w:pos="453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D24">
        <w:rPr>
          <w:rFonts w:ascii="Times New Roman" w:eastAsia="Times New Roman" w:hAnsi="Times New Roman"/>
          <w:sz w:val="24"/>
          <w:szCs w:val="24"/>
          <w:lang w:eastAsia="ru-RU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14:paraId="033F8FB2" w14:textId="77777777" w:rsidR="00302517" w:rsidRDefault="00302517" w:rsidP="00302517">
      <w:pPr>
        <w:numPr>
          <w:ilvl w:val="0"/>
          <w:numId w:val="1"/>
        </w:numPr>
        <w:tabs>
          <w:tab w:val="clear" w:pos="5039"/>
          <w:tab w:val="num" w:pos="993"/>
          <w:tab w:val="num" w:pos="1276"/>
          <w:tab w:val="left" w:pos="453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D24">
        <w:rPr>
          <w:rFonts w:ascii="Times New Roman" w:eastAsia="Times New Roman" w:hAnsi="Times New Roman"/>
          <w:sz w:val="24"/>
          <w:szCs w:val="24"/>
          <w:lang w:eastAsia="ru-RU"/>
        </w:rPr>
        <w:t>Наличие информации об установленном факте нарушении обязательных требований при производстве дорожных работ.</w:t>
      </w:r>
    </w:p>
    <w:p w14:paraId="387856BD" w14:textId="77777777" w:rsidR="00302517" w:rsidRDefault="00302517" w:rsidP="00302517">
      <w:pPr>
        <w:tabs>
          <w:tab w:val="left" w:pos="4536"/>
          <w:tab w:val="num" w:pos="50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AEEF8F" w14:textId="77777777" w:rsidR="00283AA9" w:rsidRPr="00302517" w:rsidRDefault="00283AA9">
      <w:pPr>
        <w:rPr>
          <w:rFonts w:ascii="Times New Roman" w:hAnsi="Times New Roman"/>
          <w:sz w:val="24"/>
          <w:szCs w:val="24"/>
        </w:rPr>
      </w:pPr>
    </w:p>
    <w:sectPr w:rsidR="00283AA9" w:rsidRPr="0030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41378"/>
    <w:multiLevelType w:val="multilevel"/>
    <w:tmpl w:val="1124FC9E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A9"/>
    <w:rsid w:val="0003753D"/>
    <w:rsid w:val="00283AA9"/>
    <w:rsid w:val="00302517"/>
    <w:rsid w:val="003C7B83"/>
    <w:rsid w:val="00B17BCE"/>
    <w:rsid w:val="00CC215D"/>
    <w:rsid w:val="00D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F6C3"/>
  <w15:chartTrackingRefBased/>
  <w15:docId w15:val="{9885C1C5-B224-4D10-97EC-214B032D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21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0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7BCE"/>
    <w:pPr>
      <w:spacing w:before="100" w:beforeAutospacing="1" w:after="119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со статьей 24 Федеральный закон от 31 июля 2020 года N 248-ФЗ «О </vt:lpstr>
      <vt:lpstr>    6. Контролируемое лицо вправе подать в контрольный (надзорный) орган заявление о</vt:lpstr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Козырева</dc:creator>
  <cp:keywords/>
  <dc:description/>
  <cp:lastModifiedBy>Евгения Александровна Козырева</cp:lastModifiedBy>
  <cp:revision>4</cp:revision>
  <dcterms:created xsi:type="dcterms:W3CDTF">2022-01-18T00:52:00Z</dcterms:created>
  <dcterms:modified xsi:type="dcterms:W3CDTF">2022-01-18T07:43:00Z</dcterms:modified>
</cp:coreProperties>
</file>